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DB" w:rsidRDefault="002B22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22DB" w:rsidRDefault="002B22DB">
      <w:pPr>
        <w:pStyle w:val="ConsPlusNormal"/>
        <w:jc w:val="both"/>
        <w:outlineLvl w:val="0"/>
      </w:pPr>
    </w:p>
    <w:p w:rsidR="002B22DB" w:rsidRDefault="002B22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22DB" w:rsidRDefault="002B22DB">
      <w:pPr>
        <w:pStyle w:val="ConsPlusTitle"/>
        <w:jc w:val="center"/>
      </w:pPr>
    </w:p>
    <w:p w:rsidR="002B22DB" w:rsidRDefault="002B22DB">
      <w:pPr>
        <w:pStyle w:val="ConsPlusTitle"/>
        <w:jc w:val="center"/>
      </w:pPr>
      <w:r>
        <w:t>ПОСТАНОВЛЕНИЕ</w:t>
      </w:r>
    </w:p>
    <w:p w:rsidR="002B22DB" w:rsidRDefault="002B22DB">
      <w:pPr>
        <w:pStyle w:val="ConsPlusTitle"/>
        <w:jc w:val="center"/>
      </w:pPr>
      <w:r>
        <w:t>от 24 апреля 2013 г. N 370</w:t>
      </w:r>
    </w:p>
    <w:p w:rsidR="002B22DB" w:rsidRDefault="002B22DB">
      <w:pPr>
        <w:pStyle w:val="ConsPlusTitle"/>
        <w:jc w:val="center"/>
      </w:pPr>
    </w:p>
    <w:p w:rsidR="002B22DB" w:rsidRDefault="002B22DB">
      <w:pPr>
        <w:pStyle w:val="ConsPlusTitle"/>
        <w:jc w:val="center"/>
      </w:pPr>
      <w:r>
        <w:t>ОБ УТВЕРЖДЕНИИ ПРАВИЛ</w:t>
      </w:r>
    </w:p>
    <w:p w:rsidR="002B22DB" w:rsidRDefault="002B22DB">
      <w:pPr>
        <w:pStyle w:val="ConsPlusTitle"/>
        <w:jc w:val="center"/>
      </w:pPr>
      <w:r>
        <w:t>ОПЛАТЫ УСЛУГ ЭКСПЕРТОВ И ЭКСПЕРТНЫХ ОРГАНИЗАЦИЙ</w:t>
      </w:r>
    </w:p>
    <w:p w:rsidR="002B22DB" w:rsidRDefault="002B22DB">
      <w:pPr>
        <w:pStyle w:val="ConsPlusTitle"/>
        <w:jc w:val="center"/>
      </w:pPr>
      <w:r>
        <w:t>И ВОЗМЕЩЕНИЯ РАСХОДОВ, ПОНЕСЕННЫХ ИМИ В СВЯЗИ</w:t>
      </w:r>
    </w:p>
    <w:p w:rsidR="002B22DB" w:rsidRDefault="002B22DB">
      <w:pPr>
        <w:pStyle w:val="ConsPlusTitle"/>
        <w:jc w:val="center"/>
      </w:pPr>
      <w:r>
        <w:t>С ПРОВЕДЕНИЕМ АККРЕДИТАЦИОННОЙ ЭКСПЕРТИЗЫ</w:t>
      </w:r>
    </w:p>
    <w:p w:rsidR="002B22DB" w:rsidRDefault="002B22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2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2DB" w:rsidRDefault="002B2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2DB" w:rsidRDefault="002B22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28.03.2015 </w:t>
            </w:r>
            <w:hyperlink r:id="rId6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22DB" w:rsidRDefault="002B2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7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16 статьи 92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оплаты услуг экспертов и экспертных организаций и возмещения расходов, понесенных ими в связи с проведением аккредитационной экспертизы.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2012 г. N 1088 "Об утверждении Правил оплаты услуг экспертов и </w:t>
      </w:r>
      <w:proofErr w:type="gramStart"/>
      <w:r>
        <w:t>возмещения</w:t>
      </w:r>
      <w:proofErr w:type="gramEnd"/>
      <w:r>
        <w:t xml:space="preserve"> понесенных ими расходов в связи с проведением аккредитационной экспертизы" (Собрание законодательства Российской Федерации, 2012, N 44, ст. 6032).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</w:t>
      </w: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right"/>
      </w:pPr>
      <w:r>
        <w:t>Председатель Правительства</w:t>
      </w:r>
    </w:p>
    <w:p w:rsidR="002B22DB" w:rsidRDefault="002B22DB">
      <w:pPr>
        <w:pStyle w:val="ConsPlusNormal"/>
        <w:jc w:val="right"/>
      </w:pPr>
      <w:r>
        <w:t>Российской Федерации</w:t>
      </w:r>
    </w:p>
    <w:p w:rsidR="002B22DB" w:rsidRDefault="002B22DB">
      <w:pPr>
        <w:pStyle w:val="ConsPlusNormal"/>
        <w:jc w:val="right"/>
      </w:pPr>
      <w:r>
        <w:t>Д.МЕДВЕДЕВ</w:t>
      </w: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Normal"/>
        <w:jc w:val="right"/>
        <w:outlineLvl w:val="0"/>
      </w:pPr>
      <w:r>
        <w:t>Утверждены</w:t>
      </w:r>
    </w:p>
    <w:p w:rsidR="002B22DB" w:rsidRDefault="002B22DB">
      <w:pPr>
        <w:pStyle w:val="ConsPlusNormal"/>
        <w:jc w:val="right"/>
      </w:pPr>
      <w:r>
        <w:t>постановлением Правительства</w:t>
      </w:r>
    </w:p>
    <w:p w:rsidR="002B22DB" w:rsidRDefault="002B22DB">
      <w:pPr>
        <w:pStyle w:val="ConsPlusNormal"/>
        <w:jc w:val="right"/>
      </w:pPr>
      <w:r>
        <w:t>Российской Федерации</w:t>
      </w:r>
    </w:p>
    <w:p w:rsidR="002B22DB" w:rsidRDefault="002B22DB">
      <w:pPr>
        <w:pStyle w:val="ConsPlusNormal"/>
        <w:jc w:val="right"/>
      </w:pPr>
      <w:r>
        <w:t>от 24 апреля 2013 г. N 370</w:t>
      </w:r>
    </w:p>
    <w:p w:rsidR="002B22DB" w:rsidRDefault="002B22DB">
      <w:pPr>
        <w:pStyle w:val="ConsPlusNormal"/>
        <w:jc w:val="center"/>
      </w:pPr>
    </w:p>
    <w:p w:rsidR="002B22DB" w:rsidRDefault="002B22DB">
      <w:pPr>
        <w:pStyle w:val="ConsPlusTitle"/>
        <w:jc w:val="center"/>
      </w:pPr>
      <w:bookmarkStart w:id="0" w:name="P32"/>
      <w:bookmarkEnd w:id="0"/>
      <w:r>
        <w:t>ПРАВИЛА</w:t>
      </w:r>
    </w:p>
    <w:p w:rsidR="002B22DB" w:rsidRDefault="002B22DB">
      <w:pPr>
        <w:pStyle w:val="ConsPlusTitle"/>
        <w:jc w:val="center"/>
      </w:pPr>
      <w:r>
        <w:t>ОПЛАТЫ УСЛУГ ЭКСПЕРТОВ И ЭКСПЕРТНЫХ ОРГАНИЗАЦИЙ</w:t>
      </w:r>
    </w:p>
    <w:p w:rsidR="002B22DB" w:rsidRDefault="002B22DB">
      <w:pPr>
        <w:pStyle w:val="ConsPlusTitle"/>
        <w:jc w:val="center"/>
      </w:pPr>
      <w:r>
        <w:t>И ВОЗМЕЩЕНИЯ РАСХОДОВ, ПОНЕСЕННЫХ ИМИ В СВЯЗИ</w:t>
      </w:r>
    </w:p>
    <w:p w:rsidR="002B22DB" w:rsidRDefault="002B22DB">
      <w:pPr>
        <w:pStyle w:val="ConsPlusTitle"/>
        <w:jc w:val="center"/>
      </w:pPr>
      <w:r>
        <w:t>С ПРОВЕДЕНИЕМ АККРЕДИТАЦИОННОЙ ЭКСПЕРТИЗЫ</w:t>
      </w:r>
    </w:p>
    <w:p w:rsidR="002B22DB" w:rsidRDefault="002B22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2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2DB" w:rsidRDefault="002B2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2DB" w:rsidRDefault="002B22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28.03.2015 </w:t>
            </w:r>
            <w:hyperlink r:id="rId10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22DB" w:rsidRDefault="002B2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1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22DB" w:rsidRDefault="002B22DB">
      <w:pPr>
        <w:pStyle w:val="ConsPlusNormal"/>
        <w:ind w:firstLine="540"/>
        <w:jc w:val="both"/>
      </w:pPr>
    </w:p>
    <w:p w:rsidR="002B22DB" w:rsidRDefault="002B22DB">
      <w:pPr>
        <w:pStyle w:val="ConsPlusNormal"/>
        <w:ind w:firstLine="540"/>
        <w:jc w:val="both"/>
      </w:pPr>
      <w:r>
        <w:t xml:space="preserve">1. Настоящие Правила определяют порядок оплаты услуг экспертов и экспертных </w:t>
      </w:r>
      <w:r>
        <w:lastRenderedPageBreak/>
        <w:t>организаций и возмещения расходов, понесенных ими в связи с проведением аккредитационной экспертизы образовательной деятельности по основным образовательным программам образовательных организаций, организаций, осуществляющих обучение, а также индивидуальных предпринимателей, за исключением индивидуальных предпринимателей, осуществляющих образовательную деятельность непосредственно (далее - организации, осуществляющие образовательную деятельность).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Оплата услуг эксперта или экспертной организации и возмещение понесенных ими расходов в связи с проведением аккредитационной экспертизы осуществляются в соответствии с заключенным между Федеральной службой по надзору в сфере образования и науки или органом исполнительной власти субъекта Российской Федерации, осуществляющим переданные Российской Федерацией полномочия в сфере образования, и экспертом или экспертной организацией гражданско-правовым договором.</w:t>
      </w:r>
      <w:proofErr w:type="gramEnd"/>
    </w:p>
    <w:p w:rsidR="002B22DB" w:rsidRDefault="002B22DB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3. Размер оплаты услуг эксперта рассчитывается исходя из размера ставки почасовой оплаты труда эксперта, установленного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настоящих Правил, и количества часов его участия в проведении аккредитационной экспертизы.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4. Размер оплаты услуг экспертной организации рассчитывается исходя из определенного в соответствии с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настоящих Правил </w:t>
      </w:r>
      <w:proofErr w:type="gramStart"/>
      <w:r>
        <w:t>размера оплаты труда</w:t>
      </w:r>
      <w:proofErr w:type="gramEnd"/>
      <w:r>
        <w:t xml:space="preserve"> каждого эксперта и количества экспертов, участвовавших в проведении аккредитационной экспертизы.</w:t>
      </w:r>
    </w:p>
    <w:p w:rsidR="002B22DB" w:rsidRDefault="002B22DB">
      <w:pPr>
        <w:pStyle w:val="ConsPlusNormal"/>
        <w:spacing w:before="220"/>
        <w:ind w:firstLine="540"/>
        <w:jc w:val="both"/>
      </w:pPr>
      <w:bookmarkStart w:id="2" w:name="P44"/>
      <w:bookmarkEnd w:id="2"/>
      <w:r>
        <w:t>5. Размер ставки почасовой оплаты труда эксперта не зависит от занимаемой экспертом должности, наличия у него ученых степеней, ученых званий и составляет: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при аккредитационной экспертизе основных общеобразовательных программ - 200 рублей;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при аккредитационной экспертизе основных профессиональных образовательных программ среднего профессионального образования - 250 рублей;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при аккредитационной экспертизе основных профессиональных образовательных программ высшего образования - 330 рублей.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6. Количество часов участия эксперта в проведении аккредитационной экспертизы определяется исходя из количества выполненных экспертом видов работ по аккредитационной экспертизе с учетом </w:t>
      </w:r>
      <w:hyperlink r:id="rId12" w:history="1">
        <w:r>
          <w:rPr>
            <w:color w:val="0000FF"/>
          </w:rPr>
          <w:t>нормативов</w:t>
        </w:r>
      </w:hyperlink>
      <w:r>
        <w:t xml:space="preserve"> трудозатрат и </w:t>
      </w:r>
      <w:hyperlink r:id="rId13" w:history="1">
        <w:r>
          <w:rPr>
            <w:color w:val="0000FF"/>
          </w:rPr>
          <w:t>коэффициентов</w:t>
        </w:r>
      </w:hyperlink>
      <w:r>
        <w:t>, учитывающих изменения сложности работ в зависимости от контингента обучающихся, устанавливаемых Федеральной службой по надзору в сфере образования и науки.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28.03.2015 N 290.</w:t>
      </w:r>
    </w:p>
    <w:p w:rsidR="002B22DB" w:rsidRDefault="002B22DB">
      <w:pPr>
        <w:pStyle w:val="ConsPlusNormal"/>
        <w:spacing w:before="220"/>
        <w:ind w:firstLine="540"/>
        <w:jc w:val="both"/>
      </w:pPr>
      <w:bookmarkStart w:id="3" w:name="P50"/>
      <w:bookmarkEnd w:id="3"/>
      <w:r>
        <w:t>8. Эксперту возмещаются следующие виды расходов: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расходы на проезд до местонахождения организации, осуществляющей образовательную деятельность, в отношении которой проводится аккредитационная экспертиза, и обратно до места жительства эксперта;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расходы по найму жилого помещения.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9. Расходы, предусмотренные </w:t>
      </w:r>
      <w:hyperlink w:anchor="P50" w:history="1">
        <w:r>
          <w:rPr>
            <w:color w:val="0000FF"/>
          </w:rPr>
          <w:t>пунктом 8</w:t>
        </w:r>
      </w:hyperlink>
      <w:r>
        <w:t xml:space="preserve"> настоящих Правил, возмещаются при предъявлении экспертом проездных документов и (или) документов, подтверждающих найм жилого помещения. При отсутствии соответствующих документов указанные расходы не возмещаются.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10. Расходы эксперта на проезд возмещаются в размере расходов, подтвержденных проездными документами, но не более стоимости проезда: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lastRenderedPageBreak/>
        <w:t>железнодорожным транспортом - в купейном вагоне скорого фирменного поезда;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воздушным транспортом - в салоне экономического класса. </w:t>
      </w:r>
      <w:proofErr w:type="gramStart"/>
      <w:r>
        <w:t>При использовании воздушного транспорта для проезда эксперта к месту нахождения организации, осуществляющей образовательную деятельность, в отношении которой проводится аккредитационная экспертиза, и (или) обратно к месту жительства эксперта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к месту нахождения указанной организации либо</w:t>
      </w:r>
      <w:proofErr w:type="gramEnd"/>
      <w:r>
        <w:t xml:space="preserve"> если оформление (приобретение) проездных документов на рейсы этих авиакомпаний невозможно ввиду их отсутствия на дату вылета к месту нахождения указанной организации и (или) обратно;</w:t>
      </w:r>
    </w:p>
    <w:p w:rsidR="002B22DB" w:rsidRDefault="002B22D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>автомобильным транспортом - в автотранспортном средстве общего пользования (кроме такси).</w:t>
      </w:r>
    </w:p>
    <w:p w:rsidR="002B22DB" w:rsidRDefault="002B22DB">
      <w:pPr>
        <w:pStyle w:val="ConsPlusNormal"/>
        <w:spacing w:before="220"/>
        <w:ind w:firstLine="540"/>
        <w:jc w:val="both"/>
      </w:pPr>
      <w:bookmarkStart w:id="4" w:name="P60"/>
      <w:bookmarkEnd w:id="4"/>
      <w:r>
        <w:t>11. Расходы эксперта по найму жилого помещения возмещаются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2B22DB" w:rsidRDefault="002B22DB">
      <w:pPr>
        <w:pStyle w:val="ConsPlusNormal"/>
        <w:spacing w:before="220"/>
        <w:ind w:firstLine="540"/>
        <w:jc w:val="both"/>
      </w:pPr>
      <w:r>
        <w:t xml:space="preserve">12. Возмещение экспертным организациям расходов, понесенных ими в связи с проведением аккредитационной экспертизы, осуществляется исходя из расходов каждого эксперта, определенных в соответствии с </w:t>
      </w:r>
      <w:hyperlink w:anchor="P50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60" w:history="1">
        <w:r>
          <w:rPr>
            <w:color w:val="0000FF"/>
          </w:rPr>
          <w:t>11</w:t>
        </w:r>
      </w:hyperlink>
      <w:r>
        <w:t xml:space="preserve"> настоящих Правил, и количества экспертов, участвовавших при проведении аккредитационной экспертизы.</w:t>
      </w:r>
    </w:p>
    <w:p w:rsidR="002B22DB" w:rsidRDefault="002B22DB">
      <w:pPr>
        <w:pStyle w:val="ConsPlusNormal"/>
        <w:ind w:firstLine="540"/>
        <w:jc w:val="both"/>
      </w:pPr>
    </w:p>
    <w:p w:rsidR="002B22DB" w:rsidRDefault="002B22DB">
      <w:pPr>
        <w:pStyle w:val="ConsPlusNormal"/>
        <w:ind w:firstLine="540"/>
        <w:jc w:val="both"/>
      </w:pPr>
    </w:p>
    <w:p w:rsidR="002B22DB" w:rsidRDefault="002B22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D01" w:rsidRDefault="00912D01">
      <w:bookmarkStart w:id="5" w:name="_GoBack"/>
      <w:bookmarkEnd w:id="5"/>
    </w:p>
    <w:sectPr w:rsidR="00912D01" w:rsidSect="0083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DB"/>
    <w:rsid w:val="002B22DB"/>
    <w:rsid w:val="009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590DA67BAD1133C6A602B3201FB6ADEEB61871DA51C42B39F3491E7D5A5F9753C988A40A18214FEAF769020D9A8F712BA48B963571928d6K5O" TargetMode="External"/><Relationship Id="rId13" Type="http://schemas.openxmlformats.org/officeDocument/2006/relationships/hyperlink" Target="consultantplus://offline/ref=48E590DA67BAD1133C6A602B3201FB6ADEEB648F1BAA1C42B39F3491E7D5A5F9753C988A40A08017FDAF769020D9A8F712BA48B963571928d6K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590DA67BAD1133C6A602B3201FB6ADEEB65871CA21C42B39F3491E7D5A5F9753C988A40A08018FDAF769020D9A8F712BA48B963571928d6K5O" TargetMode="External"/><Relationship Id="rId12" Type="http://schemas.openxmlformats.org/officeDocument/2006/relationships/hyperlink" Target="consultantplus://offline/ref=48E590DA67BAD1133C6A602B3201FB6ADEEB648F1BAA1C42B39F3491E7D5A5F9753C988A40A08010FDAF769020D9A8F712BA48B963571928d6K5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590DA67BAD1133C6A602B3201FB6ADCEC62851FA21C42B39F3491E7D5A5F9753C988A40A08011FBAF769020D9A8F712BA48B963571928d6K5O" TargetMode="External"/><Relationship Id="rId11" Type="http://schemas.openxmlformats.org/officeDocument/2006/relationships/hyperlink" Target="consultantplus://offline/ref=48E590DA67BAD1133C6A602B3201FB6ADEEB65871CA21C42B39F3491E7D5A5F9753C988A40A08018FDAF769020D9A8F712BA48B963571928d6K5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E590DA67BAD1133C6A602B3201FB6ADEEB65871CA21C42B39F3491E7D5A5F9753C988A40A08018FDAF769020D9A8F712BA48B963571928d6K5O" TargetMode="External"/><Relationship Id="rId10" Type="http://schemas.openxmlformats.org/officeDocument/2006/relationships/hyperlink" Target="consultantplus://offline/ref=48E590DA67BAD1133C6A602B3201FB6ADCEC62851FA21C42B39F3491E7D5A5F9753C988A40A08011FBAF769020D9A8F712BA48B963571928d6K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590DA67BAD1133C6A602B3201FB6ADCE8638F1EAA1C42B39F3491E7D5A5F9673CC08641A89E10FCBA20C165d8K4O" TargetMode="External"/><Relationship Id="rId14" Type="http://schemas.openxmlformats.org/officeDocument/2006/relationships/hyperlink" Target="consultantplus://offline/ref=48E590DA67BAD1133C6A602B3201FB6ADCEC62851FA21C42B39F3491E7D5A5F9753C988A40A08011FBAF769020D9A8F712BA48B963571928d6K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tishkina</cp:lastModifiedBy>
  <cp:revision>1</cp:revision>
  <dcterms:created xsi:type="dcterms:W3CDTF">2018-12-18T14:10:00Z</dcterms:created>
  <dcterms:modified xsi:type="dcterms:W3CDTF">2018-12-18T14:10:00Z</dcterms:modified>
</cp:coreProperties>
</file>