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30" w:rsidRDefault="00A7583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75830" w:rsidRDefault="00A75830">
      <w:pPr>
        <w:pStyle w:val="ConsPlusNormal"/>
        <w:jc w:val="both"/>
        <w:outlineLvl w:val="0"/>
      </w:pPr>
    </w:p>
    <w:p w:rsidR="00A75830" w:rsidRDefault="00A75830">
      <w:pPr>
        <w:pStyle w:val="ConsPlusNormal"/>
        <w:outlineLvl w:val="0"/>
      </w:pPr>
      <w:r>
        <w:t>Зарегистрировано в Минюсте России 30 апреля 2014 г. N 32158</w:t>
      </w:r>
    </w:p>
    <w:p w:rsidR="00A75830" w:rsidRDefault="00A758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5830" w:rsidRDefault="00A75830">
      <w:pPr>
        <w:pStyle w:val="ConsPlusNormal"/>
        <w:jc w:val="both"/>
      </w:pPr>
    </w:p>
    <w:p w:rsidR="00A75830" w:rsidRDefault="00A7583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75830" w:rsidRDefault="00A75830">
      <w:pPr>
        <w:pStyle w:val="ConsPlusTitle"/>
        <w:jc w:val="center"/>
      </w:pPr>
    </w:p>
    <w:p w:rsidR="00A75830" w:rsidRDefault="00A75830">
      <w:pPr>
        <w:pStyle w:val="ConsPlusTitle"/>
        <w:jc w:val="center"/>
      </w:pPr>
      <w:r>
        <w:t>ПРИКАЗ</w:t>
      </w:r>
    </w:p>
    <w:p w:rsidR="00A75830" w:rsidRDefault="00A75830">
      <w:pPr>
        <w:pStyle w:val="ConsPlusTitle"/>
        <w:jc w:val="center"/>
      </w:pPr>
      <w:r>
        <w:t>от 7 апреля 2014 г. N 275</w:t>
      </w:r>
    </w:p>
    <w:p w:rsidR="00A75830" w:rsidRDefault="00A75830">
      <w:pPr>
        <w:pStyle w:val="ConsPlusTitle"/>
        <w:jc w:val="center"/>
      </w:pPr>
    </w:p>
    <w:p w:rsidR="00A75830" w:rsidRDefault="00A75830">
      <w:pPr>
        <w:pStyle w:val="ConsPlusTitle"/>
        <w:jc w:val="center"/>
      </w:pPr>
      <w:r>
        <w:t>ОБ УТВЕРЖДЕНИИ ПОРЯДКА</w:t>
      </w:r>
    </w:p>
    <w:p w:rsidR="00A75830" w:rsidRDefault="00A75830">
      <w:pPr>
        <w:pStyle w:val="ConsPlusTitle"/>
        <w:jc w:val="center"/>
      </w:pPr>
      <w:r>
        <w:t>ПРИОБРЕТЕНИЯ, УЧЕТА, ХРАНЕНИЯ И ЗАПОЛНЕНИЯ БЛАНКОВ</w:t>
      </w:r>
    </w:p>
    <w:p w:rsidR="00A75830" w:rsidRDefault="00A75830">
      <w:pPr>
        <w:pStyle w:val="ConsPlusTitle"/>
        <w:jc w:val="center"/>
      </w:pPr>
      <w:r>
        <w:t xml:space="preserve">СВИДЕТЕЛЬСТВ О ГОСУДАРСТВЕННОЙ АККРЕДИТАЦИИ, </w:t>
      </w:r>
      <w:proofErr w:type="gramStart"/>
      <w:r>
        <w:t>ВРЕМЕННОГО</w:t>
      </w:r>
      <w:proofErr w:type="gramEnd"/>
    </w:p>
    <w:p w:rsidR="00A75830" w:rsidRDefault="00A75830">
      <w:pPr>
        <w:pStyle w:val="ConsPlusTitle"/>
        <w:jc w:val="center"/>
      </w:pPr>
      <w:r>
        <w:t>СВИДЕТЕЛЬСТВА О ГОСУДАРСТВЕННОЙ АККРЕДИТАЦИИ</w:t>
      </w:r>
    </w:p>
    <w:p w:rsidR="00A75830" w:rsidRDefault="00A75830">
      <w:pPr>
        <w:pStyle w:val="ConsPlusTitle"/>
        <w:jc w:val="center"/>
      </w:pPr>
      <w:r>
        <w:t>И ПРИЛОЖЕНИЙ К НИМ</w:t>
      </w:r>
    </w:p>
    <w:p w:rsidR="00A75830" w:rsidRDefault="00A75830">
      <w:pPr>
        <w:pStyle w:val="ConsPlusNormal"/>
        <w:jc w:val="both"/>
      </w:pPr>
    </w:p>
    <w:p w:rsidR="00A75830" w:rsidRDefault="00A7583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68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 N 1039 "О государственной аккредитации образовательной деятельности" (Собрание законодательства Российской Федерации, 2013, N 47, ст. 6118), приказываю: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приобретения, учета, хранения и заполнения бланков свидетельств о государственной аккредитации, временного свидетельства о государственной аккредитации и приложений к ним.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31 мая 2012 г. N 456 "Об утверждении Порядка приобретения, учета, хранения и заполнения бланков свидетельства о государственной аккредитации, временного свидетельства о государственной аккредитации и приложений к ним, а также выдачи свидетельства о государственной аккредитации, временного свидетельства о государственной аккредитации и приложения (приложений) к ним"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19 июля 2012 г., регистрационный N 24944).</w:t>
      </w:r>
      <w:proofErr w:type="gramEnd"/>
    </w:p>
    <w:p w:rsidR="00A75830" w:rsidRDefault="00A75830">
      <w:pPr>
        <w:pStyle w:val="ConsPlusNormal"/>
        <w:jc w:val="both"/>
      </w:pPr>
    </w:p>
    <w:p w:rsidR="00A75830" w:rsidRDefault="00A75830">
      <w:pPr>
        <w:pStyle w:val="ConsPlusNormal"/>
        <w:jc w:val="right"/>
      </w:pPr>
      <w:r>
        <w:t>Министр</w:t>
      </w:r>
    </w:p>
    <w:p w:rsidR="00A75830" w:rsidRDefault="00A75830">
      <w:pPr>
        <w:pStyle w:val="ConsPlusNormal"/>
        <w:jc w:val="right"/>
      </w:pPr>
      <w:r>
        <w:t>Д.В.ЛИВАНОВ</w:t>
      </w:r>
    </w:p>
    <w:p w:rsidR="00A75830" w:rsidRDefault="00A75830">
      <w:pPr>
        <w:pStyle w:val="ConsPlusNormal"/>
        <w:jc w:val="right"/>
      </w:pPr>
    </w:p>
    <w:p w:rsidR="00A75830" w:rsidRDefault="00A75830">
      <w:pPr>
        <w:pStyle w:val="ConsPlusNormal"/>
        <w:jc w:val="right"/>
      </w:pPr>
    </w:p>
    <w:p w:rsidR="00A75830" w:rsidRDefault="00A75830">
      <w:pPr>
        <w:pStyle w:val="ConsPlusNormal"/>
        <w:jc w:val="right"/>
      </w:pPr>
    </w:p>
    <w:p w:rsidR="00A75830" w:rsidRDefault="00A75830">
      <w:pPr>
        <w:pStyle w:val="ConsPlusNormal"/>
        <w:jc w:val="right"/>
      </w:pPr>
    </w:p>
    <w:p w:rsidR="00A75830" w:rsidRDefault="00A75830">
      <w:pPr>
        <w:pStyle w:val="ConsPlusNormal"/>
        <w:jc w:val="right"/>
      </w:pPr>
    </w:p>
    <w:p w:rsidR="00A75830" w:rsidRDefault="00A75830">
      <w:pPr>
        <w:pStyle w:val="ConsPlusNormal"/>
        <w:jc w:val="right"/>
        <w:outlineLvl w:val="0"/>
      </w:pPr>
      <w:r>
        <w:t>Приложение</w:t>
      </w:r>
    </w:p>
    <w:p w:rsidR="00A75830" w:rsidRDefault="00A75830">
      <w:pPr>
        <w:pStyle w:val="ConsPlusNormal"/>
        <w:jc w:val="right"/>
      </w:pPr>
    </w:p>
    <w:p w:rsidR="00A75830" w:rsidRDefault="00A75830">
      <w:pPr>
        <w:pStyle w:val="ConsPlusNormal"/>
        <w:jc w:val="right"/>
      </w:pPr>
      <w:r>
        <w:t>Утвержден</w:t>
      </w:r>
    </w:p>
    <w:p w:rsidR="00A75830" w:rsidRDefault="00A75830">
      <w:pPr>
        <w:pStyle w:val="ConsPlusNormal"/>
        <w:jc w:val="right"/>
      </w:pPr>
      <w:r>
        <w:t>приказом Министерства образования</w:t>
      </w:r>
    </w:p>
    <w:p w:rsidR="00A75830" w:rsidRDefault="00A75830">
      <w:pPr>
        <w:pStyle w:val="ConsPlusNormal"/>
        <w:jc w:val="right"/>
      </w:pPr>
      <w:r>
        <w:t>и науки Российской Федерации</w:t>
      </w:r>
    </w:p>
    <w:p w:rsidR="00A75830" w:rsidRDefault="00A75830">
      <w:pPr>
        <w:pStyle w:val="ConsPlusNormal"/>
        <w:jc w:val="right"/>
      </w:pPr>
      <w:r>
        <w:t>от 7 апреля 2014 г. N 275</w:t>
      </w:r>
    </w:p>
    <w:p w:rsidR="00A75830" w:rsidRDefault="00A75830">
      <w:pPr>
        <w:pStyle w:val="ConsPlusNormal"/>
        <w:ind w:firstLine="540"/>
        <w:jc w:val="both"/>
      </w:pPr>
    </w:p>
    <w:p w:rsidR="00A75830" w:rsidRDefault="00A75830">
      <w:pPr>
        <w:pStyle w:val="ConsPlusTitle"/>
        <w:jc w:val="center"/>
      </w:pPr>
      <w:bookmarkStart w:id="0" w:name="P33"/>
      <w:bookmarkEnd w:id="0"/>
      <w:r>
        <w:t>ПОРЯДОК</w:t>
      </w:r>
    </w:p>
    <w:p w:rsidR="00A75830" w:rsidRDefault="00A75830">
      <w:pPr>
        <w:pStyle w:val="ConsPlusTitle"/>
        <w:jc w:val="center"/>
      </w:pPr>
      <w:r>
        <w:t>ПРИОБРЕТЕНИЯ, УЧЕТА, ХРАНЕНИЯ И ЗАПОЛНЕНИЯ БЛАНКОВ</w:t>
      </w:r>
    </w:p>
    <w:p w:rsidR="00A75830" w:rsidRDefault="00A75830">
      <w:pPr>
        <w:pStyle w:val="ConsPlusTitle"/>
        <w:jc w:val="center"/>
      </w:pPr>
      <w:r>
        <w:t xml:space="preserve">СВИДЕТЕЛЬСТВ О ГОСУДАРСТВЕННОЙ АККРЕДИТАЦИИ, </w:t>
      </w:r>
      <w:proofErr w:type="gramStart"/>
      <w:r>
        <w:t>ВРЕМЕННОГО</w:t>
      </w:r>
      <w:proofErr w:type="gramEnd"/>
    </w:p>
    <w:p w:rsidR="00A75830" w:rsidRDefault="00A75830">
      <w:pPr>
        <w:pStyle w:val="ConsPlusTitle"/>
        <w:jc w:val="center"/>
      </w:pPr>
      <w:r>
        <w:t>СВИДЕТЕЛЬСТВА О ГОСУДАРСТВЕННОЙ АККРЕДИТАЦИИ</w:t>
      </w:r>
    </w:p>
    <w:p w:rsidR="00A75830" w:rsidRDefault="00A75830">
      <w:pPr>
        <w:pStyle w:val="ConsPlusTitle"/>
        <w:jc w:val="center"/>
      </w:pPr>
      <w:r>
        <w:t>И ПРИЛОЖЕНИЙ К НИМ</w:t>
      </w:r>
    </w:p>
    <w:p w:rsidR="00A75830" w:rsidRDefault="00A75830">
      <w:pPr>
        <w:pStyle w:val="ConsPlusNormal"/>
        <w:jc w:val="center"/>
      </w:pPr>
    </w:p>
    <w:p w:rsidR="00A75830" w:rsidRDefault="00A75830">
      <w:pPr>
        <w:pStyle w:val="ConsPlusNormal"/>
        <w:ind w:firstLine="540"/>
        <w:jc w:val="both"/>
      </w:pPr>
      <w:r>
        <w:lastRenderedPageBreak/>
        <w:t>1. Настоящий Порядок определяет правила приобретения, учета, хранения и заполнения бланков свидетельства о государственной аккредитации - для организаций, осуществляющих образовательную деятельность по основным общеобразовательным программам, свидетельства о государственной аккредитации - для организаций, осуществляющих образовательную деятельность по основным профессиональным образовательным программам, временного свидетельства о государственной аккредитации и приложений к ним (далее - бланки свидетельств).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2. Приобретение, учет, хранение и заполнение бланков свидетельств осуществляется Федеральной службой по надзору в сфере образования и науки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вместе - аккредитационные органы).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3. Бланки свидетельств являются защищенной полиграфической продукцией уровня "А" и подлежат хранению и учету как документы строгой отчетности.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Размещение заказов на выполнение работ по изготовлению бланков свидетельств у юридических лиц и индивидуальных предпринимателей, имеющих соответствующую лицензию по производству и реализации защищенной от подделок полиграфической продукции, осуществляется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</w:t>
      </w:r>
      <w:proofErr w:type="gramEnd"/>
      <w:r>
        <w:t xml:space="preserve">, </w:t>
      </w:r>
      <w:proofErr w:type="gramStart"/>
      <w:r>
        <w:t>N 14, ст. 1652; N 27, ст. 3480; N 52, ст. 6961).</w:t>
      </w:r>
      <w:proofErr w:type="gramEnd"/>
    </w:p>
    <w:p w:rsidR="00A75830" w:rsidRDefault="00A75830">
      <w:pPr>
        <w:pStyle w:val="ConsPlusNormal"/>
        <w:spacing w:before="220"/>
        <w:ind w:firstLine="540"/>
        <w:jc w:val="both"/>
      </w:pPr>
      <w:r>
        <w:t>5. Аккредитационные органы определяют должностных лиц, ответственных за приобретение бланков свидетельств, их учет, хранение и заполнение (далее - должностные лица аккредитационного органа).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6. Аккредитационные органы осуществляют бухгалтерский и оперативный учет бланков свидетельств.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Бухгалтерский учет бланков свидетельств осуществляется в соответствии с Единым </w:t>
      </w:r>
      <w:hyperlink r:id="rId9" w:history="1">
        <w:r>
          <w:rPr>
            <w:color w:val="0000FF"/>
          </w:rPr>
          <w:t>планом</w:t>
        </w:r>
      </w:hyperlink>
      <w: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hyperlink r:id="rId10" w:history="1">
        <w:r>
          <w:rPr>
            <w:color w:val="0000FF"/>
          </w:rPr>
          <w:t>Инструкцией</w:t>
        </w:r>
      </w:hyperlink>
      <w:r>
        <w:t xml:space="preserve">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proofErr w:type="gramEnd"/>
      <w:r>
        <w:t xml:space="preserve"> (</w:t>
      </w:r>
      <w:proofErr w:type="gramStart"/>
      <w:r>
        <w:t>муниципальных) учреждений, утвержденными приказом Министерства финансов Российской Федерации от 1 декабря 2010 г. N 157н (зарегистрирован Министерством юстиции Российской Федерации 30 декабря 2010 г., регистрационный N 19452), с изменениями, внесенными приказом Министерства финансов Российской Федерации от 12 октября 2012 г. N 134н "О внесении изменений в приказ Министерства финансов Российской Федерации от 1 декабря 2010 г. N 157н" (зарегистрирован Министерством</w:t>
      </w:r>
      <w:proofErr w:type="gramEnd"/>
      <w:r>
        <w:t xml:space="preserve"> юстиции Российской Федерации 10 декабря 2012 г., регистрационный N 26060) (далее - приказ Минфина России).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8. Оперативный учет бланков свидетельств осуществляется в соответствии с настоящим Порядком.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Записи оперативного учета бланков свидетель</w:t>
      </w:r>
      <w:proofErr w:type="gramStart"/>
      <w:r>
        <w:t>ств пр</w:t>
      </w:r>
      <w:proofErr w:type="gramEnd"/>
      <w:r>
        <w:t>оизводятся в книге учета поступивших бланков свидетельств, книге учета испорченных бланков свидетельств (далее вместе - книги оперативного учета бланков свидетельств).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9. В книгу учета поступивших бланков свидетельств вносятся следующие сведения: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дата поступления бланков свидетельств;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lastRenderedPageBreak/>
        <w:t>вид бланка свидетельства;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количество бланков свидетельств;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реквизиты бланков свидетельств (серия, номер (интервал номеров));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лица, получившего бланки свидетельств.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Запись в книгу учета поступивших бланков свидетельств вносится по каждому виду бланков отдельной строкой и заверяется подписью лица, получившего бланки. В случае если поступившие бланки свидетельств относятся к одному виду и одной серии и имеют последовательные номера, указание номеров бланков свидетельств осуществляется в форме интервала (номер первого и последнего бланка через тире).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10. В книгу учета испорченных бланков свидетельств вносятся следующие сведения: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дата порчи бланка свидетельства;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вид бланка свидетельства;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количество бланков свидетельств;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реквизиты бланка свидетельства (серия, номер (интервал номеров));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лица, внесшего запись в книгу учета испорченных бланков свидетельств.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Записи в книгу учета испорченных бланков свидетельств вносятся отдельной строкой по каждому испорченному бланку и заверяются подписью лица, внесшего запись в указанную книгу. В случае если поступившие бланки свидетельств относятся к одному виду и одной серии и имеют последовательные номера, указание номеров бланков свидетельств осуществляется в форме интервала (номер первого и последнего бланка через тире).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11. Записи в книгах оперативного учета бланков свидетель</w:t>
      </w:r>
      <w:proofErr w:type="gramStart"/>
      <w:r>
        <w:t>ств пр</w:t>
      </w:r>
      <w:proofErr w:type="gramEnd"/>
      <w:r>
        <w:t>оизводятся в хронологическом порядке. Указанные книги заполняются чернилами или шариковой ручкой. Листы книг нумеруются и прошиваются, на последнем листе делается запись о количестве листов, которая заверяется подписью руководителя аккредитационного органа (уполномоченного им лица) и печатью аккредитационного органа.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 xml:space="preserve">12. Срок </w:t>
      </w:r>
      <w:proofErr w:type="gramStart"/>
      <w:r>
        <w:t>хранения книг оперативного учета бланков свидетельств</w:t>
      </w:r>
      <w:proofErr w:type="gramEnd"/>
      <w:r>
        <w:t xml:space="preserve"> составляет 12 лет.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13. Бланки свидетельств и книги оперативного учета бланков свидетель</w:t>
      </w:r>
      <w:proofErr w:type="gramStart"/>
      <w:r>
        <w:t>ств хр</w:t>
      </w:r>
      <w:proofErr w:type="gramEnd"/>
      <w:r>
        <w:t>анятся в специально выделенных и оборудованных помещениях, сейфах или металлических шкафах с надежными внутренними или навесными замками, позволяющими обеспечить сохранность бланков свидетельств и книг оперативного учета бланков свидетельств, исключающих доступ к ним посторонних лиц.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Заполнение бланков свидетельств осуществляется на основании распорядительного акта аккредитационного органа о государственной аккредитации образовательной деятельности или о переоформлении свидетельства о государственной аккредитации - для организаций, осуществляющих образовательную деятельность по основным общеобразовательным программам, или о переоформлении свидетельства о государственной аккредитации - для организаций, осуществляющих образовательную деятельность по основным профессиональным образовательным программам, или о выдаче временного свидетельства о государственной аккредитации.</w:t>
      </w:r>
      <w:proofErr w:type="gramEnd"/>
    </w:p>
    <w:p w:rsidR="00A75830" w:rsidRDefault="00A75830">
      <w:pPr>
        <w:pStyle w:val="ConsPlusNormal"/>
        <w:spacing w:before="220"/>
        <w:ind w:firstLine="540"/>
        <w:jc w:val="both"/>
      </w:pPr>
      <w:r>
        <w:t xml:space="preserve">15. Бланки свидетельств заполняются в печатном виде в целом на организацию, </w:t>
      </w:r>
      <w:r>
        <w:lastRenderedPageBreak/>
        <w:t>осуществляющую образовательную деятельность, с учетом реализуемых ею основных общеобразовательных программ или основных профессиональных образовательных программ. Приложения к свидетельству о государственной аккредитации - для организаций, осуществляющих образовательную деятельность по основным общеобразовательным программам, свидетельству о государственной аккредитации - для организаций, осуществляющих образовательную деятельность по основным профессиональным образовательным программам, временному свидетельству о государственной аккредитации оформляются отдельно на организацию, осуществляющую образовательную деятельность, и на каждый ее филиал.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16. После заполнения бланки свидетель</w:t>
      </w:r>
      <w:proofErr w:type="gramStart"/>
      <w:r>
        <w:t>ств пр</w:t>
      </w:r>
      <w:proofErr w:type="gramEnd"/>
      <w:r>
        <w:t>оверяются на безошибочность внесенных в них записей. Бланки свидетельств, заполненные с ошибками, считаются испорченными и подлежат замене.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17. Исправления при заполнении бланков свидетельств не допускаются.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18. Испорченные при заполнении, а также неиспользованные бланки свидетель</w:t>
      </w:r>
      <w:proofErr w:type="gramStart"/>
      <w:r>
        <w:t>ств в сл</w:t>
      </w:r>
      <w:proofErr w:type="gramEnd"/>
      <w:r>
        <w:t xml:space="preserve">учае введения в действие в установленном порядке новых форм бланков свидетельств подлежат списанию и уничтожению в соответствии с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Минфина России.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>19. Свидетельства о государственной аккредитации - для организаций, осуществляющих образовательную деятельность по основным общеобразовательным программам, свидетельства о государственной аккредитации - для организаций, осуществляющих образовательную деятельность по основным профессиональным образовательным программам, временные свидетельства о государственной аккредитации (далее - свидетельства) и приложения к ним подписываются руководителем аккредитационного органа (уполномоченным им лицом) и заверяются печатью аккредитационного органа.</w:t>
      </w:r>
    </w:p>
    <w:p w:rsidR="00A75830" w:rsidRDefault="00A75830">
      <w:pPr>
        <w:pStyle w:val="ConsPlusNormal"/>
        <w:spacing w:before="220"/>
        <w:ind w:firstLine="540"/>
        <w:jc w:val="both"/>
      </w:pPr>
      <w:r>
        <w:t xml:space="preserve">20. Приложения к свидетельствам сшиваются при наличии в них нескольких листов, на последнем листе делается запись о количестве листов, которая заверяется подписью руководителя аккредитационного органа (уполномоченным им лицом) и печатью аккредитационного органа. </w:t>
      </w:r>
      <w:proofErr w:type="gramStart"/>
      <w:r>
        <w:t>Перед наименованием должности уполномоченного лица слово "И.о." или вертикальная черта не пишутся.</w:t>
      </w:r>
      <w:proofErr w:type="gramEnd"/>
    </w:p>
    <w:p w:rsidR="00A75830" w:rsidRDefault="00A75830">
      <w:pPr>
        <w:pStyle w:val="ConsPlusNormal"/>
        <w:jc w:val="both"/>
      </w:pPr>
    </w:p>
    <w:p w:rsidR="00A75830" w:rsidRDefault="00A75830">
      <w:pPr>
        <w:pStyle w:val="ConsPlusNormal"/>
        <w:jc w:val="both"/>
      </w:pPr>
    </w:p>
    <w:p w:rsidR="00A75830" w:rsidRDefault="00A758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00D" w:rsidRDefault="00BD600D">
      <w:bookmarkStart w:id="1" w:name="_GoBack"/>
      <w:bookmarkEnd w:id="1"/>
    </w:p>
    <w:sectPr w:rsidR="00BD600D" w:rsidSect="003B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30"/>
    <w:rsid w:val="00A75830"/>
    <w:rsid w:val="00B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8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8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444CB2E28632C887A93039AB56B99ACC5D0A7B967C6F282DB372C1787F4E08B92A5AE5482FC104F1910985hED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66444CB2E28632C887A93039AB56B998CE5F027A947C6F282DB372C1787F4E08B92A5AE5482FC104F1910985hEDF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66444CB2E28632C887A93039AB56B99ACD550E7F967C6F282DB372C1787F4E1AB97256E44030C605E4C758C0B2844FE70D94C2DBFDBC3Ch4D8O" TargetMode="External"/><Relationship Id="rId11" Type="http://schemas.openxmlformats.org/officeDocument/2006/relationships/hyperlink" Target="consultantplus://offline/ref=AC66444CB2E28632C887A93039AB56B99BC45A087D907C6F282DB372C1787F4E08B92A5AE5482FC104F1910985hEDF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C66444CB2E28632C887A93039AB56B99BC45A087D907C6F282DB372C1787F4E1AB97256E44032C801E4C758C0B2844FE70D94C2DBFDBC3Ch4D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66444CB2E28632C887A93039AB56B99BC45A087D907C6F282DB372C1787F4E1AB97256E44031C100E4C758C0B2844FE70D94C2DBFDBC3Ch4D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tishkina</dc:creator>
  <cp:lastModifiedBy>tishkina</cp:lastModifiedBy>
  <cp:revision>1</cp:revision>
  <dcterms:created xsi:type="dcterms:W3CDTF">2018-12-18T14:03:00Z</dcterms:created>
  <dcterms:modified xsi:type="dcterms:W3CDTF">2018-12-18T14:04:00Z</dcterms:modified>
</cp:coreProperties>
</file>